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942B8" w14:textId="59148870" w:rsidR="00330AC4" w:rsidRPr="00AE7E25" w:rsidRDefault="004C71C2" w:rsidP="0077205B">
      <w:pPr>
        <w:rPr>
          <w:rFonts w:ascii="Arial" w:hAnsi="Arial" w:cs="Arial"/>
          <w:b/>
          <w:sz w:val="22"/>
          <w:szCs w:val="22"/>
          <w:lang w:val="es-ES_tradnl"/>
        </w:rPr>
      </w:pPr>
      <w:r w:rsidRPr="00AE7E25">
        <w:rPr>
          <w:rFonts w:ascii="Arial" w:hAnsi="Arial" w:cs="Arial"/>
          <w:b/>
          <w:sz w:val="22"/>
          <w:szCs w:val="22"/>
          <w:lang w:val="es-ES_tradnl"/>
        </w:rPr>
        <w:t xml:space="preserve"> </w:t>
      </w:r>
    </w:p>
    <w:p w14:paraId="04999123" w14:textId="14FABE82" w:rsidR="003211BE" w:rsidRPr="00AE7E25" w:rsidRDefault="003211BE" w:rsidP="003211BE">
      <w:pPr>
        <w:jc w:val="right"/>
        <w:rPr>
          <w:rFonts w:ascii="Arial" w:eastAsia="Arial" w:hAnsi="Arial" w:cs="Arial"/>
          <w:b/>
          <w:sz w:val="22"/>
          <w:szCs w:val="22"/>
          <w:lang w:val="es-ES_tradnl"/>
        </w:rPr>
      </w:pPr>
      <w:r w:rsidRPr="00AE7E25">
        <w:rPr>
          <w:rFonts w:ascii="Arial" w:eastAsia="Arial" w:hAnsi="Arial" w:cs="Arial"/>
          <w:b/>
          <w:sz w:val="22"/>
          <w:szCs w:val="22"/>
          <w:lang w:val="es-ES_tradnl"/>
        </w:rPr>
        <w:t>OFICIO AMC-DA-</w:t>
      </w:r>
      <w:r w:rsidR="00F632EE" w:rsidRPr="00AE7E25">
        <w:rPr>
          <w:rFonts w:ascii="Arial" w:eastAsia="Arial" w:hAnsi="Arial" w:cs="Arial"/>
          <w:b/>
          <w:color w:val="000000" w:themeColor="text1"/>
          <w:sz w:val="22"/>
          <w:szCs w:val="22"/>
          <w:lang w:val="es-ES_tradnl"/>
        </w:rPr>
        <w:t>xxx</w:t>
      </w:r>
      <w:r w:rsidRPr="00AE7E25">
        <w:rPr>
          <w:rFonts w:ascii="Arial" w:eastAsia="Arial" w:hAnsi="Arial" w:cs="Arial"/>
          <w:b/>
          <w:sz w:val="22"/>
          <w:szCs w:val="22"/>
          <w:lang w:val="es-ES_tradnl"/>
        </w:rPr>
        <w:t>-202</w:t>
      </w:r>
      <w:r w:rsidR="00F632EE" w:rsidRPr="00AE7E25">
        <w:rPr>
          <w:rFonts w:ascii="Arial" w:eastAsia="Arial" w:hAnsi="Arial" w:cs="Arial"/>
          <w:b/>
          <w:sz w:val="22"/>
          <w:szCs w:val="22"/>
          <w:lang w:val="es-ES_tradnl"/>
        </w:rPr>
        <w:t>6</w:t>
      </w:r>
    </w:p>
    <w:p w14:paraId="126195C1" w14:textId="7A3EF619" w:rsidR="003211BE" w:rsidRPr="00AE7E25" w:rsidRDefault="003211BE" w:rsidP="003211BE">
      <w:pPr>
        <w:jc w:val="right"/>
        <w:rPr>
          <w:rFonts w:ascii="Arial" w:eastAsia="Arial" w:hAnsi="Arial" w:cs="Arial"/>
          <w:b/>
          <w:sz w:val="22"/>
          <w:szCs w:val="22"/>
          <w:lang w:val="es-ES_tradnl"/>
        </w:rPr>
      </w:pPr>
      <w:r w:rsidRPr="00AE7E25">
        <w:rPr>
          <w:rFonts w:ascii="Arial" w:eastAsia="Arial" w:hAnsi="Arial" w:cs="Arial"/>
          <w:b/>
          <w:sz w:val="22"/>
          <w:szCs w:val="22"/>
          <w:lang w:val="es-ES_tradnl"/>
        </w:rPr>
        <w:t xml:space="preserve">Cajicá, </w:t>
      </w:r>
      <w:r w:rsidR="009549E2">
        <w:rPr>
          <w:rFonts w:ascii="Arial" w:eastAsia="Arial" w:hAnsi="Arial" w:cs="Arial"/>
          <w:b/>
          <w:sz w:val="22"/>
          <w:szCs w:val="22"/>
          <w:lang w:val="es-ES_tradnl"/>
        </w:rPr>
        <w:t>1</w:t>
      </w:r>
      <w:r w:rsidR="004472C1">
        <w:rPr>
          <w:rFonts w:ascii="Arial" w:eastAsia="Arial" w:hAnsi="Arial" w:cs="Arial"/>
          <w:b/>
          <w:sz w:val="22"/>
          <w:szCs w:val="22"/>
          <w:lang w:val="es-ES_tradnl"/>
        </w:rPr>
        <w:t>0</w:t>
      </w:r>
      <w:r w:rsidRPr="00AE7E25">
        <w:rPr>
          <w:rFonts w:ascii="Arial" w:eastAsia="Arial" w:hAnsi="Arial" w:cs="Arial"/>
          <w:b/>
          <w:sz w:val="22"/>
          <w:szCs w:val="22"/>
          <w:lang w:val="es-ES_tradnl"/>
        </w:rPr>
        <w:t xml:space="preserve"> de </w:t>
      </w:r>
      <w:r w:rsidR="004472C1">
        <w:rPr>
          <w:rFonts w:ascii="Arial" w:eastAsia="Arial" w:hAnsi="Arial" w:cs="Arial"/>
          <w:b/>
          <w:sz w:val="22"/>
          <w:szCs w:val="22"/>
          <w:lang w:val="es-ES_tradnl"/>
        </w:rPr>
        <w:t>junio</w:t>
      </w:r>
      <w:r w:rsidRPr="00AE7E25">
        <w:rPr>
          <w:rFonts w:ascii="Arial" w:eastAsia="Arial" w:hAnsi="Arial" w:cs="Arial"/>
          <w:b/>
          <w:sz w:val="22"/>
          <w:szCs w:val="22"/>
          <w:lang w:val="es-ES_tradnl"/>
        </w:rPr>
        <w:t xml:space="preserve"> de 202</w:t>
      </w:r>
      <w:r w:rsidR="00F632EE" w:rsidRPr="00AE7E25">
        <w:rPr>
          <w:rFonts w:ascii="Arial" w:eastAsia="Arial" w:hAnsi="Arial" w:cs="Arial"/>
          <w:b/>
          <w:sz w:val="22"/>
          <w:szCs w:val="22"/>
          <w:lang w:val="es-ES_tradnl"/>
        </w:rPr>
        <w:t>6</w:t>
      </w:r>
    </w:p>
    <w:p w14:paraId="64FAA466" w14:textId="77777777" w:rsidR="007838F2" w:rsidRPr="00AE7E25" w:rsidRDefault="007838F2" w:rsidP="00F01CAB">
      <w:pPr>
        <w:pStyle w:val="Sinespaciado"/>
        <w:rPr>
          <w:rFonts w:ascii="Arial" w:hAnsi="Arial" w:cs="Arial"/>
          <w:sz w:val="22"/>
          <w:szCs w:val="22"/>
        </w:rPr>
      </w:pPr>
    </w:p>
    <w:p w14:paraId="68994780" w14:textId="77777777" w:rsidR="00F01CAB" w:rsidRPr="00AE7E25" w:rsidRDefault="00F01CAB" w:rsidP="00F01CAB">
      <w:pPr>
        <w:pStyle w:val="Sinespaciado"/>
        <w:rPr>
          <w:rFonts w:ascii="Arial" w:hAnsi="Arial" w:cs="Arial"/>
          <w:sz w:val="22"/>
          <w:szCs w:val="22"/>
        </w:rPr>
      </w:pPr>
    </w:p>
    <w:p w14:paraId="54889DC0" w14:textId="77777777" w:rsidR="004472C1" w:rsidRPr="004472C1" w:rsidRDefault="004472C1" w:rsidP="004472C1">
      <w:pPr>
        <w:jc w:val="both"/>
        <w:rPr>
          <w:rFonts w:ascii="Arial" w:eastAsiaTheme="minorEastAsia" w:hAnsi="Arial" w:cs="Arial"/>
          <w:sz w:val="22"/>
          <w:szCs w:val="22"/>
          <w:lang w:val="es-ES_tradnl" w:eastAsia="es-ES"/>
        </w:rPr>
      </w:pPr>
    </w:p>
    <w:p w14:paraId="1818B1E2" w14:textId="77777777" w:rsidR="004472C1" w:rsidRPr="004472C1" w:rsidRDefault="004472C1" w:rsidP="004472C1">
      <w:pPr>
        <w:jc w:val="both"/>
        <w:rPr>
          <w:rFonts w:ascii="Arial" w:eastAsiaTheme="minorEastAsia" w:hAnsi="Arial" w:cs="Arial"/>
          <w:b/>
          <w:bCs/>
          <w:sz w:val="22"/>
          <w:szCs w:val="22"/>
          <w:lang w:val="es-ES_tradnl" w:eastAsia="es-ES"/>
        </w:rPr>
      </w:pPr>
      <w:r w:rsidRPr="004472C1">
        <w:rPr>
          <w:rFonts w:ascii="Arial" w:eastAsiaTheme="minorEastAsia" w:hAnsi="Arial" w:cs="Arial"/>
          <w:b/>
          <w:bCs/>
          <w:sz w:val="22"/>
          <w:szCs w:val="22"/>
          <w:lang w:val="es-ES_tradnl" w:eastAsia="es-ES"/>
        </w:rPr>
        <w:t>Señor</w:t>
      </w:r>
    </w:p>
    <w:p w14:paraId="066CEA7F" w14:textId="77777777" w:rsidR="004472C1" w:rsidRPr="004472C1" w:rsidRDefault="004472C1" w:rsidP="004472C1">
      <w:pPr>
        <w:jc w:val="both"/>
        <w:rPr>
          <w:rFonts w:ascii="Arial" w:eastAsiaTheme="minorEastAsia" w:hAnsi="Arial" w:cs="Arial"/>
          <w:b/>
          <w:bCs/>
          <w:sz w:val="22"/>
          <w:szCs w:val="22"/>
          <w:lang w:val="es-ES_tradnl" w:eastAsia="es-ES"/>
        </w:rPr>
      </w:pPr>
      <w:r w:rsidRPr="004472C1">
        <w:rPr>
          <w:rFonts w:ascii="Arial" w:eastAsiaTheme="minorEastAsia" w:hAnsi="Arial" w:cs="Arial"/>
          <w:b/>
          <w:bCs/>
          <w:sz w:val="22"/>
          <w:szCs w:val="22"/>
          <w:lang w:val="es-ES_tradnl" w:eastAsia="es-ES"/>
        </w:rPr>
        <w:t>HÉCTOR G. JAIME VEGA</w:t>
      </w:r>
    </w:p>
    <w:p w14:paraId="1B6CB0E1" w14:textId="361D911F"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Correo electrónico: hectorgjaime@gmail.com</w:t>
      </w:r>
    </w:p>
    <w:p w14:paraId="33CA57B2" w14:textId="77777777" w:rsidR="004472C1" w:rsidRPr="004472C1" w:rsidRDefault="004472C1" w:rsidP="004472C1">
      <w:pPr>
        <w:jc w:val="both"/>
        <w:rPr>
          <w:rFonts w:ascii="Arial" w:eastAsiaTheme="minorEastAsia" w:hAnsi="Arial" w:cs="Arial"/>
          <w:sz w:val="22"/>
          <w:szCs w:val="22"/>
          <w:lang w:val="es-ES_tradnl" w:eastAsia="es-ES"/>
        </w:rPr>
      </w:pPr>
    </w:p>
    <w:p w14:paraId="0AA08693" w14:textId="77777777" w:rsidR="004472C1" w:rsidRDefault="004472C1" w:rsidP="004472C1">
      <w:pPr>
        <w:jc w:val="both"/>
        <w:rPr>
          <w:rFonts w:ascii="Arial" w:eastAsiaTheme="minorEastAsia" w:hAnsi="Arial" w:cs="Arial"/>
          <w:sz w:val="22"/>
          <w:szCs w:val="22"/>
          <w:lang w:val="es-ES_tradnl" w:eastAsia="es-ES"/>
        </w:rPr>
      </w:pPr>
    </w:p>
    <w:p w14:paraId="76A3CBC6" w14:textId="77777777" w:rsidR="004472C1" w:rsidRDefault="004472C1" w:rsidP="004472C1">
      <w:pPr>
        <w:jc w:val="both"/>
        <w:rPr>
          <w:rFonts w:ascii="Arial" w:eastAsiaTheme="minorEastAsia" w:hAnsi="Arial" w:cs="Arial"/>
          <w:sz w:val="22"/>
          <w:szCs w:val="22"/>
          <w:lang w:val="es-ES_tradnl" w:eastAsia="es-ES"/>
        </w:rPr>
      </w:pPr>
    </w:p>
    <w:p w14:paraId="749304BA" w14:textId="4B577EAF" w:rsidR="004472C1" w:rsidRPr="004472C1" w:rsidRDefault="004472C1" w:rsidP="004472C1">
      <w:pPr>
        <w:jc w:val="both"/>
        <w:rPr>
          <w:rFonts w:ascii="Arial" w:eastAsiaTheme="minorEastAsia" w:hAnsi="Arial" w:cs="Arial"/>
          <w:sz w:val="22"/>
          <w:szCs w:val="22"/>
          <w:lang w:val="es-ES_tradnl" w:eastAsia="es-ES"/>
        </w:rPr>
      </w:pPr>
      <w:r w:rsidRPr="00AD6783">
        <w:rPr>
          <w:rFonts w:ascii="Arial" w:eastAsiaTheme="minorEastAsia" w:hAnsi="Arial" w:cs="Arial"/>
          <w:b/>
          <w:bCs/>
          <w:sz w:val="22"/>
          <w:szCs w:val="22"/>
          <w:lang w:val="es-ES_tradnl" w:eastAsia="es-ES"/>
        </w:rPr>
        <w:t>Asunto:</w:t>
      </w:r>
      <w:r w:rsidRPr="004472C1">
        <w:rPr>
          <w:rFonts w:ascii="Arial" w:eastAsiaTheme="minorEastAsia" w:hAnsi="Arial" w:cs="Arial"/>
          <w:sz w:val="22"/>
          <w:szCs w:val="22"/>
          <w:lang w:val="es-ES_tradnl" w:eastAsia="es-ES"/>
        </w:rPr>
        <w:t xml:space="preserve"> Respuesta de fondo a solicitud relacionada con recuperación, construcción y adecuación de andenes y espacio público peatonal.</w:t>
      </w:r>
    </w:p>
    <w:p w14:paraId="47295532" w14:textId="77777777" w:rsidR="004472C1" w:rsidRPr="004472C1" w:rsidRDefault="004472C1" w:rsidP="004472C1">
      <w:pPr>
        <w:jc w:val="both"/>
        <w:rPr>
          <w:rFonts w:ascii="Arial" w:eastAsiaTheme="minorEastAsia" w:hAnsi="Arial" w:cs="Arial"/>
          <w:sz w:val="22"/>
          <w:szCs w:val="22"/>
          <w:lang w:val="es-ES_tradnl" w:eastAsia="es-ES"/>
        </w:rPr>
      </w:pPr>
    </w:p>
    <w:p w14:paraId="56043B00" w14:textId="77777777" w:rsidR="004472C1" w:rsidRDefault="004472C1" w:rsidP="004472C1">
      <w:pPr>
        <w:jc w:val="both"/>
        <w:rPr>
          <w:rFonts w:ascii="Arial" w:eastAsiaTheme="minorEastAsia" w:hAnsi="Arial" w:cs="Arial"/>
          <w:sz w:val="22"/>
          <w:szCs w:val="22"/>
          <w:lang w:val="es-ES_tradnl" w:eastAsia="es-ES"/>
        </w:rPr>
      </w:pPr>
    </w:p>
    <w:p w14:paraId="17B64226" w14:textId="29068464"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Respetado señor:</w:t>
      </w:r>
    </w:p>
    <w:p w14:paraId="4376595B" w14:textId="77777777" w:rsidR="004472C1" w:rsidRDefault="004472C1" w:rsidP="004472C1">
      <w:pPr>
        <w:jc w:val="both"/>
        <w:rPr>
          <w:rFonts w:ascii="Arial" w:eastAsiaTheme="minorEastAsia" w:hAnsi="Arial" w:cs="Arial"/>
          <w:sz w:val="22"/>
          <w:szCs w:val="22"/>
          <w:lang w:val="es-ES_tradnl" w:eastAsia="es-ES"/>
        </w:rPr>
      </w:pPr>
    </w:p>
    <w:p w14:paraId="1391D2D2" w14:textId="77777777" w:rsidR="00AD6783" w:rsidRPr="004472C1" w:rsidRDefault="00AD6783" w:rsidP="004472C1">
      <w:pPr>
        <w:jc w:val="both"/>
        <w:rPr>
          <w:rFonts w:ascii="Arial" w:eastAsiaTheme="minorEastAsia" w:hAnsi="Arial" w:cs="Arial"/>
          <w:sz w:val="22"/>
          <w:szCs w:val="22"/>
          <w:lang w:val="es-ES_tradnl" w:eastAsia="es-ES"/>
        </w:rPr>
      </w:pPr>
    </w:p>
    <w:p w14:paraId="2E4EE288" w14:textId="5C516E1F"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 xml:space="preserve">En atención a su solicitud, </w:t>
      </w:r>
      <w:r>
        <w:rPr>
          <w:rFonts w:ascii="Arial" w:eastAsiaTheme="minorEastAsia" w:hAnsi="Arial" w:cs="Arial"/>
          <w:sz w:val="22"/>
          <w:szCs w:val="22"/>
          <w:lang w:val="es-ES_tradnl" w:eastAsia="es-ES"/>
        </w:rPr>
        <w:t>y en calidad de Alcaldesa Municipal me permito dar respuesta siendo pertinente indicar que nuestro Plan de Desarrollo “Cajicá Ideal 2024-2027”</w:t>
      </w:r>
      <w:r w:rsidR="00AD6783">
        <w:rPr>
          <w:rFonts w:ascii="Arial" w:eastAsiaTheme="minorEastAsia" w:hAnsi="Arial" w:cs="Arial"/>
          <w:sz w:val="22"/>
          <w:szCs w:val="22"/>
          <w:lang w:val="es-ES_tradnl" w:eastAsia="es-ES"/>
        </w:rPr>
        <w:t>,</w:t>
      </w:r>
      <w:r>
        <w:rPr>
          <w:rFonts w:ascii="Arial" w:eastAsiaTheme="minorEastAsia" w:hAnsi="Arial" w:cs="Arial"/>
          <w:sz w:val="22"/>
          <w:szCs w:val="22"/>
          <w:lang w:val="es-ES_tradnl" w:eastAsia="es-ES"/>
        </w:rPr>
        <w:t xml:space="preserve"> se ha dado especial relevancia a la rehabilitación del espacio público por lo que</w:t>
      </w:r>
      <w:r w:rsidRPr="004472C1">
        <w:rPr>
          <w:rFonts w:ascii="Arial" w:eastAsiaTheme="minorEastAsia" w:hAnsi="Arial" w:cs="Arial"/>
          <w:sz w:val="22"/>
          <w:szCs w:val="22"/>
          <w:lang w:val="es-ES_tradnl" w:eastAsia="es-ES"/>
        </w:rPr>
        <w:t xml:space="preserve"> una vez consultada la Secretaría de Infraestructura y Obras Públicas, nos permitimos dar respuesta de fondo en los siguientes términos:</w:t>
      </w:r>
    </w:p>
    <w:p w14:paraId="23555985" w14:textId="77777777" w:rsidR="004472C1" w:rsidRPr="004472C1" w:rsidRDefault="004472C1" w:rsidP="004472C1">
      <w:pPr>
        <w:jc w:val="both"/>
        <w:rPr>
          <w:rFonts w:ascii="Arial" w:eastAsiaTheme="minorEastAsia" w:hAnsi="Arial" w:cs="Arial"/>
          <w:sz w:val="22"/>
          <w:szCs w:val="22"/>
          <w:lang w:val="es-ES_tradnl" w:eastAsia="es-ES"/>
        </w:rPr>
      </w:pPr>
    </w:p>
    <w:p w14:paraId="1C57FC31" w14:textId="51397389" w:rsidR="004472C1" w:rsidRPr="004472C1" w:rsidRDefault="004472C1" w:rsidP="004472C1">
      <w:pPr>
        <w:jc w:val="both"/>
        <w:rPr>
          <w:rFonts w:ascii="Arial" w:eastAsiaTheme="minorEastAsia" w:hAnsi="Arial" w:cs="Arial"/>
          <w:b/>
          <w:bCs/>
          <w:sz w:val="22"/>
          <w:szCs w:val="22"/>
          <w:lang w:val="es-ES_tradnl" w:eastAsia="es-ES"/>
        </w:rPr>
      </w:pPr>
      <w:r w:rsidRPr="004472C1">
        <w:rPr>
          <w:rFonts w:ascii="Arial" w:eastAsiaTheme="minorEastAsia" w:hAnsi="Arial" w:cs="Arial"/>
          <w:b/>
          <w:bCs/>
          <w:sz w:val="22"/>
          <w:szCs w:val="22"/>
          <w:lang w:val="es-ES_tradnl" w:eastAsia="es-ES"/>
        </w:rPr>
        <w:t>MARCO NORMATIVO APLICABLE</w:t>
      </w:r>
      <w:r w:rsidRPr="004472C1">
        <w:rPr>
          <w:rFonts w:ascii="Arial" w:eastAsiaTheme="minorEastAsia" w:hAnsi="Arial" w:cs="Arial"/>
          <w:b/>
          <w:bCs/>
          <w:sz w:val="22"/>
          <w:szCs w:val="22"/>
          <w:lang w:val="es-ES_tradnl" w:eastAsia="es-ES"/>
        </w:rPr>
        <w:t>.</w:t>
      </w:r>
    </w:p>
    <w:p w14:paraId="7672921A" w14:textId="77777777" w:rsidR="004472C1" w:rsidRPr="004472C1" w:rsidRDefault="004472C1" w:rsidP="004472C1">
      <w:pPr>
        <w:jc w:val="both"/>
        <w:rPr>
          <w:rFonts w:ascii="Arial" w:eastAsiaTheme="minorEastAsia" w:hAnsi="Arial" w:cs="Arial"/>
          <w:sz w:val="22"/>
          <w:szCs w:val="22"/>
          <w:lang w:val="es-ES_tradnl" w:eastAsia="es-ES"/>
        </w:rPr>
      </w:pPr>
    </w:p>
    <w:p w14:paraId="245BF964"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Resulta pertinente indicar que la Administración Municipal comparte plenamente la importancia de garantizar la protección del espacio público, la movilidad peatonal segura y la accesibilidad universal de las personas, especialmente de aquellas que presentan condiciones de discapacidad o movilidad reducida.</w:t>
      </w:r>
    </w:p>
    <w:p w14:paraId="777B343C" w14:textId="77777777" w:rsidR="004472C1" w:rsidRPr="004472C1" w:rsidRDefault="004472C1" w:rsidP="004472C1">
      <w:pPr>
        <w:jc w:val="both"/>
        <w:rPr>
          <w:rFonts w:ascii="Arial" w:eastAsiaTheme="minorEastAsia" w:hAnsi="Arial" w:cs="Arial"/>
          <w:sz w:val="22"/>
          <w:szCs w:val="22"/>
          <w:lang w:val="es-ES_tradnl" w:eastAsia="es-ES"/>
        </w:rPr>
      </w:pPr>
    </w:p>
    <w:p w14:paraId="4C8FE9DE"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En tal sentido, el municipio desarrolla sus actuaciones en observancia de lo dispuesto en los artículos 82 y 209 de la Constitución Política, la Ley 388 de 1997, la Ley 361 de 1997, la Ley 1618 de 2013, el Decreto 1077 de 2015, el Decreto 798 de 2010 compilado en aquel, así como las disposiciones contenidas en el Decreto Municipal 239 de 2025 mediante el cual se compilaron las normas del Plan Básico de Ordenamiento Territorial del Municipio de Cajicá. Dicho marco normativo establece la obligación de promover condiciones adecuadas de accesibilidad, continuidad y seguridad en la infraestructura peatonal, dentro de criterios de planeación, priorización técnica y disponibilidad presupuestal.</w:t>
      </w:r>
    </w:p>
    <w:p w14:paraId="480BBE18" w14:textId="77777777" w:rsidR="004472C1" w:rsidRPr="004472C1" w:rsidRDefault="004472C1" w:rsidP="004472C1">
      <w:pPr>
        <w:jc w:val="both"/>
        <w:rPr>
          <w:rFonts w:ascii="Arial" w:eastAsiaTheme="minorEastAsia" w:hAnsi="Arial" w:cs="Arial"/>
          <w:sz w:val="22"/>
          <w:szCs w:val="22"/>
          <w:lang w:val="es-ES_tradnl" w:eastAsia="es-ES"/>
        </w:rPr>
      </w:pPr>
    </w:p>
    <w:p w14:paraId="05886D66" w14:textId="24121D26" w:rsidR="004472C1" w:rsidRPr="004472C1" w:rsidRDefault="004472C1" w:rsidP="004472C1">
      <w:pPr>
        <w:jc w:val="both"/>
        <w:rPr>
          <w:rFonts w:ascii="Arial" w:eastAsiaTheme="minorEastAsia" w:hAnsi="Arial" w:cs="Arial"/>
          <w:b/>
          <w:bCs/>
          <w:sz w:val="22"/>
          <w:szCs w:val="22"/>
          <w:lang w:val="es-ES_tradnl" w:eastAsia="es-ES"/>
        </w:rPr>
      </w:pPr>
      <w:r w:rsidRPr="004472C1">
        <w:rPr>
          <w:rFonts w:ascii="Arial" w:eastAsiaTheme="minorEastAsia" w:hAnsi="Arial" w:cs="Arial"/>
          <w:b/>
          <w:bCs/>
          <w:sz w:val="22"/>
          <w:szCs w:val="22"/>
          <w:lang w:val="es-ES_tradnl" w:eastAsia="es-ES"/>
        </w:rPr>
        <w:t>ACCIONES DESARROLLADAS POR LA ADMINISTRACIÓN MUNICIPAL</w:t>
      </w:r>
    </w:p>
    <w:p w14:paraId="5DD98AE4" w14:textId="77777777" w:rsidR="004472C1" w:rsidRPr="004472C1" w:rsidRDefault="004472C1" w:rsidP="004472C1">
      <w:pPr>
        <w:jc w:val="both"/>
        <w:rPr>
          <w:rFonts w:ascii="Arial" w:eastAsiaTheme="minorEastAsia" w:hAnsi="Arial" w:cs="Arial"/>
          <w:sz w:val="22"/>
          <w:szCs w:val="22"/>
          <w:lang w:val="es-ES_tradnl" w:eastAsia="es-ES"/>
        </w:rPr>
      </w:pPr>
    </w:p>
    <w:p w14:paraId="7DB22670" w14:textId="4D8FB1CB"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De acuerdo con el informe técnico presentado por la Secretaría de Infraestructura y Obras Públicas correspondiente a la vigencia 2025-2026</w:t>
      </w:r>
      <w:r>
        <w:rPr>
          <w:rFonts w:ascii="Arial" w:eastAsiaTheme="minorEastAsia" w:hAnsi="Arial" w:cs="Arial"/>
          <w:sz w:val="22"/>
          <w:szCs w:val="22"/>
          <w:lang w:val="es-ES_tradnl" w:eastAsia="es-ES"/>
        </w:rPr>
        <w:t xml:space="preserve"> el cual se anexa para su conocimiento</w:t>
      </w:r>
      <w:r w:rsidRPr="004472C1">
        <w:rPr>
          <w:rFonts w:ascii="Arial" w:eastAsiaTheme="minorEastAsia" w:hAnsi="Arial" w:cs="Arial"/>
          <w:sz w:val="22"/>
          <w:szCs w:val="22"/>
          <w:lang w:val="es-ES_tradnl" w:eastAsia="es-ES"/>
        </w:rPr>
        <w:t>, la Administración Municipal ha venido ejecutando de manera permanente actividades de construcción, adecuación, mejoramiento y mantenimiento del espacio público, con énfasis en andenes, zonas peatonales, rampas de acceso y demás elementos complementarios de movilidad urbana.</w:t>
      </w:r>
    </w:p>
    <w:p w14:paraId="3679A02F" w14:textId="77777777" w:rsidR="004472C1" w:rsidRPr="004472C1" w:rsidRDefault="004472C1" w:rsidP="004472C1">
      <w:pPr>
        <w:jc w:val="both"/>
        <w:rPr>
          <w:rFonts w:ascii="Arial" w:eastAsiaTheme="minorEastAsia" w:hAnsi="Arial" w:cs="Arial"/>
          <w:sz w:val="22"/>
          <w:szCs w:val="22"/>
          <w:lang w:val="es-ES_tradnl" w:eastAsia="es-ES"/>
        </w:rPr>
      </w:pPr>
    </w:p>
    <w:p w14:paraId="7302EA89"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El citado informe señala que las intervenciones ejecutadas tienen como objetivo garantizar condiciones adecuadas de seguridad, accesibilidad, continuidad y funcionalidad para el tránsito peatonal, así como fortalecer la infraestructura urbana destinada al uso y disfrute de la comunidad.</w:t>
      </w:r>
    </w:p>
    <w:p w14:paraId="51EC8434" w14:textId="77777777" w:rsidR="004472C1" w:rsidRPr="004472C1" w:rsidRDefault="004472C1" w:rsidP="004472C1">
      <w:pPr>
        <w:jc w:val="both"/>
        <w:rPr>
          <w:rFonts w:ascii="Arial" w:eastAsiaTheme="minorEastAsia" w:hAnsi="Arial" w:cs="Arial"/>
          <w:sz w:val="22"/>
          <w:szCs w:val="22"/>
          <w:lang w:val="es-ES_tradnl" w:eastAsia="es-ES"/>
        </w:rPr>
      </w:pPr>
    </w:p>
    <w:p w14:paraId="79989115"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Dentro de las actuaciones adelantadas durante la vigencia se destacan, entre otras:</w:t>
      </w:r>
    </w:p>
    <w:p w14:paraId="6D02DCCB" w14:textId="77777777" w:rsidR="004472C1" w:rsidRPr="004472C1" w:rsidRDefault="004472C1" w:rsidP="004472C1">
      <w:pPr>
        <w:jc w:val="both"/>
        <w:rPr>
          <w:rFonts w:ascii="Arial" w:eastAsiaTheme="minorEastAsia" w:hAnsi="Arial" w:cs="Arial"/>
          <w:sz w:val="22"/>
          <w:szCs w:val="22"/>
          <w:lang w:val="es-ES_tradnl" w:eastAsia="es-ES"/>
        </w:rPr>
      </w:pPr>
    </w:p>
    <w:p w14:paraId="21DD55DA" w14:textId="77777777" w:rsidR="004472C1" w:rsidRPr="004472C1" w:rsidRDefault="004472C1" w:rsidP="004472C1">
      <w:pPr>
        <w:ind w:left="567"/>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lastRenderedPageBreak/>
        <w:t>• Construcción de rampas de accesibilidad en el Centro Integral de Servicios y Atención al Ciudadano – CISAEC.</w:t>
      </w:r>
    </w:p>
    <w:p w14:paraId="43335AA5" w14:textId="77777777" w:rsidR="004472C1" w:rsidRPr="004472C1" w:rsidRDefault="004472C1" w:rsidP="004472C1">
      <w:pPr>
        <w:ind w:left="567"/>
        <w:jc w:val="both"/>
        <w:rPr>
          <w:rFonts w:ascii="Arial" w:eastAsiaTheme="minorEastAsia" w:hAnsi="Arial" w:cs="Arial"/>
          <w:sz w:val="22"/>
          <w:szCs w:val="22"/>
          <w:lang w:val="es-ES_tradnl" w:eastAsia="es-ES"/>
        </w:rPr>
      </w:pPr>
    </w:p>
    <w:p w14:paraId="24294C9A" w14:textId="77777777" w:rsidR="004472C1" w:rsidRPr="004472C1" w:rsidRDefault="004472C1" w:rsidP="004472C1">
      <w:pPr>
        <w:ind w:left="567"/>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 Construcción de rampas de acceso en el Centro de Atención a la Población POMAR.</w:t>
      </w:r>
    </w:p>
    <w:p w14:paraId="5F6C6F8F" w14:textId="77777777" w:rsidR="004472C1" w:rsidRPr="004472C1" w:rsidRDefault="004472C1" w:rsidP="004472C1">
      <w:pPr>
        <w:ind w:left="567"/>
        <w:jc w:val="both"/>
        <w:rPr>
          <w:rFonts w:ascii="Arial" w:eastAsiaTheme="minorEastAsia" w:hAnsi="Arial" w:cs="Arial"/>
          <w:sz w:val="22"/>
          <w:szCs w:val="22"/>
          <w:lang w:val="es-ES_tradnl" w:eastAsia="es-ES"/>
        </w:rPr>
      </w:pPr>
    </w:p>
    <w:p w14:paraId="5E00A2F4" w14:textId="77777777" w:rsidR="004472C1" w:rsidRPr="004472C1" w:rsidRDefault="004472C1" w:rsidP="004472C1">
      <w:pPr>
        <w:ind w:left="567"/>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 Construcción de rampas en el Salón Comunal Tayrona.</w:t>
      </w:r>
    </w:p>
    <w:p w14:paraId="59785AF5" w14:textId="77777777" w:rsidR="004472C1" w:rsidRPr="004472C1" w:rsidRDefault="004472C1" w:rsidP="004472C1">
      <w:pPr>
        <w:ind w:left="567"/>
        <w:jc w:val="both"/>
        <w:rPr>
          <w:rFonts w:ascii="Arial" w:eastAsiaTheme="minorEastAsia" w:hAnsi="Arial" w:cs="Arial"/>
          <w:sz w:val="22"/>
          <w:szCs w:val="22"/>
          <w:lang w:val="es-ES_tradnl" w:eastAsia="es-ES"/>
        </w:rPr>
      </w:pPr>
    </w:p>
    <w:p w14:paraId="79464D8E" w14:textId="77777777" w:rsidR="004472C1" w:rsidRPr="004472C1" w:rsidRDefault="004472C1" w:rsidP="004472C1">
      <w:pPr>
        <w:ind w:left="567"/>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 Construcción de veintidós (22) rampas para personas con movilidad reducida en diferentes sectores del municipio, incluyendo Calahorra, Camino de San Antonio, Puente Vargas, Edificio Piedra Rojas, Canelón, Chuntame, Calle 3 entre carreras 6 y 7 y sector Bohío.</w:t>
      </w:r>
    </w:p>
    <w:p w14:paraId="191A37A6" w14:textId="77777777" w:rsidR="004472C1" w:rsidRPr="004472C1" w:rsidRDefault="004472C1" w:rsidP="004472C1">
      <w:pPr>
        <w:ind w:left="567"/>
        <w:jc w:val="both"/>
        <w:rPr>
          <w:rFonts w:ascii="Arial" w:eastAsiaTheme="minorEastAsia" w:hAnsi="Arial" w:cs="Arial"/>
          <w:sz w:val="22"/>
          <w:szCs w:val="22"/>
          <w:lang w:val="es-ES_tradnl" w:eastAsia="es-ES"/>
        </w:rPr>
      </w:pPr>
    </w:p>
    <w:p w14:paraId="1DD5A6E9" w14:textId="77777777" w:rsidR="004472C1" w:rsidRPr="004472C1" w:rsidRDefault="004472C1" w:rsidP="004472C1">
      <w:pPr>
        <w:ind w:left="567"/>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 Construcción y adecuación adicional de rampas en andenes del distrito y en los sectores comprendidos entre las calles 2 Sur y 3 Sur, así como la ejecución de nuevas intervenciones actualmente en desarrollo.</w:t>
      </w:r>
    </w:p>
    <w:p w14:paraId="2870F6B0" w14:textId="77777777" w:rsidR="004472C1" w:rsidRPr="004472C1" w:rsidRDefault="004472C1" w:rsidP="004472C1">
      <w:pPr>
        <w:ind w:left="567"/>
        <w:jc w:val="both"/>
        <w:rPr>
          <w:rFonts w:ascii="Arial" w:eastAsiaTheme="minorEastAsia" w:hAnsi="Arial" w:cs="Arial"/>
          <w:sz w:val="22"/>
          <w:szCs w:val="22"/>
          <w:lang w:val="es-ES_tradnl" w:eastAsia="es-ES"/>
        </w:rPr>
      </w:pPr>
    </w:p>
    <w:p w14:paraId="10B480B4" w14:textId="77777777" w:rsidR="004472C1" w:rsidRPr="004472C1" w:rsidRDefault="004472C1" w:rsidP="004472C1">
      <w:pPr>
        <w:ind w:left="567"/>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 Ejecución de obras de construcción y mejoramiento de andenes mediante convenios solidarios, destacándose la continuación de etapas constructivas en la carrera 14 sector La Laguna, con incorporación de elementos técnicos orientados a garantizar la transitabilidad y seguridad peatonal.</w:t>
      </w:r>
    </w:p>
    <w:p w14:paraId="77BA26CB" w14:textId="77777777" w:rsidR="004472C1" w:rsidRPr="004472C1" w:rsidRDefault="004472C1" w:rsidP="004472C1">
      <w:pPr>
        <w:jc w:val="both"/>
        <w:rPr>
          <w:rFonts w:ascii="Arial" w:eastAsiaTheme="minorEastAsia" w:hAnsi="Arial" w:cs="Arial"/>
          <w:sz w:val="22"/>
          <w:szCs w:val="22"/>
          <w:lang w:val="es-ES_tradnl" w:eastAsia="es-ES"/>
        </w:rPr>
      </w:pPr>
    </w:p>
    <w:p w14:paraId="3B6F3CCC"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Estas actuaciones evidencian que el Municipio viene desarrollando una política activa de recuperación, mantenimiento y ampliación de la infraestructura peatonal, encaminada precisamente al cumplimiento de los estándares de accesibilidad y movilidad establecidos en la normativa vigente.</w:t>
      </w:r>
    </w:p>
    <w:p w14:paraId="357C2C1C" w14:textId="77777777" w:rsidR="004472C1" w:rsidRPr="004472C1" w:rsidRDefault="004472C1" w:rsidP="004472C1">
      <w:pPr>
        <w:jc w:val="both"/>
        <w:rPr>
          <w:rFonts w:ascii="Arial" w:eastAsiaTheme="minorEastAsia" w:hAnsi="Arial" w:cs="Arial"/>
          <w:sz w:val="22"/>
          <w:szCs w:val="22"/>
          <w:lang w:val="es-ES_tradnl" w:eastAsia="es-ES"/>
        </w:rPr>
      </w:pPr>
    </w:p>
    <w:p w14:paraId="77B50B61" w14:textId="158B9B82" w:rsidR="004472C1" w:rsidRPr="004472C1" w:rsidRDefault="004472C1" w:rsidP="004472C1">
      <w:pPr>
        <w:jc w:val="both"/>
        <w:rPr>
          <w:rFonts w:ascii="Arial" w:eastAsiaTheme="minorEastAsia" w:hAnsi="Arial" w:cs="Arial"/>
          <w:b/>
          <w:bCs/>
          <w:sz w:val="22"/>
          <w:szCs w:val="22"/>
          <w:lang w:val="es-ES_tradnl" w:eastAsia="es-ES"/>
        </w:rPr>
      </w:pPr>
      <w:r w:rsidRPr="004472C1">
        <w:rPr>
          <w:rFonts w:ascii="Arial" w:eastAsiaTheme="minorEastAsia" w:hAnsi="Arial" w:cs="Arial"/>
          <w:b/>
          <w:bCs/>
          <w:sz w:val="22"/>
          <w:szCs w:val="22"/>
          <w:lang w:val="es-ES_tradnl" w:eastAsia="es-ES"/>
        </w:rPr>
        <w:t>SOBRE LAS SITUACIONES REPORTADAS EN SU COMUNICACIÓN</w:t>
      </w:r>
    </w:p>
    <w:p w14:paraId="778286F0" w14:textId="77777777" w:rsidR="004472C1" w:rsidRPr="004472C1" w:rsidRDefault="004472C1" w:rsidP="004472C1">
      <w:pPr>
        <w:jc w:val="both"/>
        <w:rPr>
          <w:rFonts w:ascii="Arial" w:eastAsiaTheme="minorEastAsia" w:hAnsi="Arial" w:cs="Arial"/>
          <w:sz w:val="22"/>
          <w:szCs w:val="22"/>
          <w:lang w:val="es-ES_tradnl" w:eastAsia="es-ES"/>
        </w:rPr>
      </w:pPr>
    </w:p>
    <w:p w14:paraId="657FAB62" w14:textId="0B801184"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La Administración reconoce que, debido a la dinámica de crecimiento urbano y al proceso continuo de consolidación de infraestructura vial y peatonal</w:t>
      </w:r>
      <w:r>
        <w:rPr>
          <w:rFonts w:ascii="Arial" w:eastAsiaTheme="minorEastAsia" w:hAnsi="Arial" w:cs="Arial"/>
          <w:sz w:val="22"/>
          <w:szCs w:val="22"/>
          <w:lang w:val="es-ES_tradnl" w:eastAsia="es-ES"/>
        </w:rPr>
        <w:t xml:space="preserve"> a lo largo de varias decadas</w:t>
      </w:r>
      <w:r w:rsidRPr="004472C1">
        <w:rPr>
          <w:rFonts w:ascii="Arial" w:eastAsiaTheme="minorEastAsia" w:hAnsi="Arial" w:cs="Arial"/>
          <w:sz w:val="22"/>
          <w:szCs w:val="22"/>
          <w:lang w:val="es-ES_tradnl" w:eastAsia="es-ES"/>
        </w:rPr>
        <w:t>, aún existen sectores del municipio que requieren intervenciones complementarias para alcanzar condiciones óptimas de accesibilidad universal y conectividad peatonal.</w:t>
      </w:r>
    </w:p>
    <w:p w14:paraId="6DDEB4BA" w14:textId="77777777" w:rsidR="004472C1" w:rsidRPr="004472C1" w:rsidRDefault="004472C1" w:rsidP="004472C1">
      <w:pPr>
        <w:jc w:val="both"/>
        <w:rPr>
          <w:rFonts w:ascii="Arial" w:eastAsiaTheme="minorEastAsia" w:hAnsi="Arial" w:cs="Arial"/>
          <w:sz w:val="22"/>
          <w:szCs w:val="22"/>
          <w:lang w:val="es-ES_tradnl" w:eastAsia="es-ES"/>
        </w:rPr>
      </w:pPr>
    </w:p>
    <w:p w14:paraId="2D252F10" w14:textId="277AF3BC"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Igualmente, se reconoce que pueden existir puntos específicos donde se presenten restricciones de circulación derivadas de procesos constructivos, configuraciones prediales históricas, limitaciones geométricas de las vías o situaciones particulares que demandan evaluación técnica individualizada</w:t>
      </w:r>
      <w:r>
        <w:rPr>
          <w:rFonts w:ascii="Arial" w:eastAsiaTheme="minorEastAsia" w:hAnsi="Arial" w:cs="Arial"/>
          <w:sz w:val="22"/>
          <w:szCs w:val="22"/>
          <w:lang w:val="es-ES_tradnl" w:eastAsia="es-ES"/>
        </w:rPr>
        <w:t xml:space="preserve"> p</w:t>
      </w:r>
      <w:r w:rsidRPr="004472C1">
        <w:rPr>
          <w:rFonts w:ascii="Arial" w:eastAsiaTheme="minorEastAsia" w:hAnsi="Arial" w:cs="Arial"/>
          <w:sz w:val="22"/>
          <w:szCs w:val="22"/>
          <w:lang w:val="es-ES_tradnl" w:eastAsia="es-ES"/>
        </w:rPr>
        <w:t xml:space="preserve">or tal razón, </w:t>
      </w:r>
      <w:r>
        <w:rPr>
          <w:rFonts w:ascii="Arial" w:eastAsiaTheme="minorEastAsia" w:hAnsi="Arial" w:cs="Arial"/>
          <w:sz w:val="22"/>
          <w:szCs w:val="22"/>
          <w:lang w:val="es-ES_tradnl" w:eastAsia="es-ES"/>
        </w:rPr>
        <w:t>al realizar intervenciones se ha venido considerando y ejecutando las actividades que se requieren</w:t>
      </w:r>
      <w:r w:rsidRPr="004472C1">
        <w:rPr>
          <w:rFonts w:ascii="Arial" w:eastAsiaTheme="minorEastAsia" w:hAnsi="Arial" w:cs="Arial"/>
          <w:sz w:val="22"/>
          <w:szCs w:val="22"/>
          <w:lang w:val="es-ES_tradnl" w:eastAsia="es-ES"/>
        </w:rPr>
        <w:t>.</w:t>
      </w:r>
    </w:p>
    <w:p w14:paraId="068B4279" w14:textId="77777777" w:rsidR="004472C1" w:rsidRPr="004472C1" w:rsidRDefault="004472C1" w:rsidP="004472C1">
      <w:pPr>
        <w:jc w:val="both"/>
        <w:rPr>
          <w:rFonts w:ascii="Arial" w:eastAsiaTheme="minorEastAsia" w:hAnsi="Arial" w:cs="Arial"/>
          <w:sz w:val="22"/>
          <w:szCs w:val="22"/>
          <w:lang w:val="es-ES_tradnl" w:eastAsia="es-ES"/>
        </w:rPr>
      </w:pPr>
    </w:p>
    <w:p w14:paraId="2781D547"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Debe precisarse que la existencia de necesidades puntuales en determinados sectores no implica la inobservancia generalizada de las disposiciones urbanísticas vigentes, sino que constituye un insumo adicional para la planificación progresiva de nuevas actuaciones dentro de los programas de inversión pública que adelanta la Administración Municipal.</w:t>
      </w:r>
    </w:p>
    <w:p w14:paraId="3ADFDCE9" w14:textId="77777777" w:rsidR="004472C1" w:rsidRPr="004472C1" w:rsidRDefault="004472C1" w:rsidP="004472C1">
      <w:pPr>
        <w:jc w:val="both"/>
        <w:rPr>
          <w:rFonts w:ascii="Arial" w:eastAsiaTheme="minorEastAsia" w:hAnsi="Arial" w:cs="Arial"/>
          <w:sz w:val="22"/>
          <w:szCs w:val="22"/>
          <w:lang w:val="es-ES_tradnl" w:eastAsia="es-ES"/>
        </w:rPr>
      </w:pPr>
    </w:p>
    <w:p w14:paraId="392AA180" w14:textId="32E548DE" w:rsidR="004472C1" w:rsidRPr="004472C1" w:rsidRDefault="004472C1" w:rsidP="004472C1">
      <w:pPr>
        <w:jc w:val="both"/>
        <w:rPr>
          <w:rFonts w:ascii="Arial" w:eastAsiaTheme="minorEastAsia" w:hAnsi="Arial" w:cs="Arial"/>
          <w:b/>
          <w:bCs/>
          <w:sz w:val="22"/>
          <w:szCs w:val="22"/>
          <w:lang w:val="es-ES_tradnl" w:eastAsia="es-ES"/>
        </w:rPr>
      </w:pPr>
      <w:r w:rsidRPr="004472C1">
        <w:rPr>
          <w:rFonts w:ascii="Arial" w:eastAsiaTheme="minorEastAsia" w:hAnsi="Arial" w:cs="Arial"/>
          <w:b/>
          <w:bCs/>
          <w:sz w:val="22"/>
          <w:szCs w:val="22"/>
          <w:lang w:val="es-ES_tradnl" w:eastAsia="es-ES"/>
        </w:rPr>
        <w:t>SOBRE LA RECUPERACIÓN Y PROTECCIÓN DEL ESPACIO PÚBLICO</w:t>
      </w:r>
    </w:p>
    <w:p w14:paraId="33827096" w14:textId="77777777" w:rsidR="004472C1" w:rsidRPr="004472C1" w:rsidRDefault="004472C1" w:rsidP="004472C1">
      <w:pPr>
        <w:jc w:val="both"/>
        <w:rPr>
          <w:rFonts w:ascii="Arial" w:eastAsiaTheme="minorEastAsia" w:hAnsi="Arial" w:cs="Arial"/>
          <w:sz w:val="22"/>
          <w:szCs w:val="22"/>
          <w:lang w:val="es-ES_tradnl" w:eastAsia="es-ES"/>
        </w:rPr>
      </w:pPr>
    </w:p>
    <w:p w14:paraId="2E25F01A"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La Administración Municipal mantiene de manera permanente acciones encaminadas a la protección, recuperación y conservación del espacio público, en coordinación con las diferentes dependencias competentes.</w:t>
      </w:r>
    </w:p>
    <w:p w14:paraId="0078E579" w14:textId="77777777" w:rsidR="004472C1" w:rsidRPr="004472C1" w:rsidRDefault="004472C1" w:rsidP="004472C1">
      <w:pPr>
        <w:jc w:val="both"/>
        <w:rPr>
          <w:rFonts w:ascii="Arial" w:eastAsiaTheme="minorEastAsia" w:hAnsi="Arial" w:cs="Arial"/>
          <w:sz w:val="22"/>
          <w:szCs w:val="22"/>
          <w:lang w:val="es-ES_tradnl" w:eastAsia="es-ES"/>
        </w:rPr>
      </w:pPr>
    </w:p>
    <w:p w14:paraId="39080622"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Las actuaciones relacionadas con la construcción de nuevos andenes, ampliación de franjas peatonales, adecuación de accesos para personas con discapacidad y recuperación de zonas destinadas al tránsito peatonal se ejecutan de acuerdo con los instrumentos de planeación territorial, los programas de inversión definidos en el Plan de Desarrollo Municipal, los estudios técnicos correspondientes y la disponibilidad de recursos públicos.</w:t>
      </w:r>
    </w:p>
    <w:p w14:paraId="03E02285" w14:textId="77777777" w:rsidR="004472C1" w:rsidRPr="004472C1" w:rsidRDefault="004472C1" w:rsidP="004472C1">
      <w:pPr>
        <w:jc w:val="both"/>
        <w:rPr>
          <w:rFonts w:ascii="Arial" w:eastAsiaTheme="minorEastAsia" w:hAnsi="Arial" w:cs="Arial"/>
          <w:sz w:val="22"/>
          <w:szCs w:val="22"/>
          <w:lang w:val="es-ES_tradnl" w:eastAsia="es-ES"/>
        </w:rPr>
      </w:pPr>
    </w:p>
    <w:p w14:paraId="4898F0ED"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lastRenderedPageBreak/>
        <w:t>En consecuencia, las observaciones presentadas por usted serán consideradas dentro de los procesos de diagnóstico y formulación de futuras intervenciones orientadas al fortalecimiento de la red peatonal municipal.</w:t>
      </w:r>
    </w:p>
    <w:p w14:paraId="73F85129" w14:textId="77777777" w:rsidR="004472C1" w:rsidRPr="004472C1" w:rsidRDefault="004472C1" w:rsidP="004472C1">
      <w:pPr>
        <w:jc w:val="both"/>
        <w:rPr>
          <w:rFonts w:ascii="Arial" w:eastAsiaTheme="minorEastAsia" w:hAnsi="Arial" w:cs="Arial"/>
          <w:sz w:val="22"/>
          <w:szCs w:val="22"/>
          <w:lang w:val="es-ES_tradnl" w:eastAsia="es-ES"/>
        </w:rPr>
      </w:pPr>
    </w:p>
    <w:p w14:paraId="184E8FED" w14:textId="4926BB19"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E</w:t>
      </w:r>
      <w:r w:rsidR="006D611F">
        <w:rPr>
          <w:rFonts w:ascii="Arial" w:eastAsiaTheme="minorEastAsia" w:hAnsi="Arial" w:cs="Arial"/>
          <w:sz w:val="22"/>
          <w:szCs w:val="22"/>
          <w:lang w:val="es-ES_tradnl" w:eastAsia="es-ES"/>
        </w:rPr>
        <w:t xml:space="preserve">l </w:t>
      </w:r>
      <w:r w:rsidRPr="004472C1">
        <w:rPr>
          <w:rFonts w:ascii="Arial" w:eastAsiaTheme="minorEastAsia" w:hAnsi="Arial" w:cs="Arial"/>
          <w:sz w:val="22"/>
          <w:szCs w:val="22"/>
          <w:lang w:val="es-ES_tradnl" w:eastAsia="es-ES"/>
        </w:rPr>
        <w:t>Municipio de Cajicá viene desarrollando de manera continua acciones de construcción, adecuación, mantenimiento y mejoramiento de andenes, rampas y demás elementos asociados a la movilidad peatonal, en cumplimiento de las disposiciones constitucionales, legales y urbanísticas vigentes.</w:t>
      </w:r>
    </w:p>
    <w:p w14:paraId="68CF8835" w14:textId="77777777" w:rsidR="004472C1" w:rsidRPr="004472C1" w:rsidRDefault="004472C1" w:rsidP="004472C1">
      <w:pPr>
        <w:jc w:val="both"/>
        <w:rPr>
          <w:rFonts w:ascii="Arial" w:eastAsiaTheme="minorEastAsia" w:hAnsi="Arial" w:cs="Arial"/>
          <w:sz w:val="22"/>
          <w:szCs w:val="22"/>
          <w:lang w:val="es-ES_tradnl" w:eastAsia="es-ES"/>
        </w:rPr>
      </w:pPr>
    </w:p>
    <w:p w14:paraId="7CA93E7B"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Agradecemos su participación ciudadana y el interés demostrado en la protección del espacio público y la movilidad segura de los habitantes del municipio.</w:t>
      </w:r>
    </w:p>
    <w:p w14:paraId="03CEDDBD" w14:textId="77777777" w:rsidR="004472C1" w:rsidRPr="004472C1" w:rsidRDefault="004472C1" w:rsidP="004472C1">
      <w:pPr>
        <w:jc w:val="both"/>
        <w:rPr>
          <w:rFonts w:ascii="Arial" w:eastAsiaTheme="minorEastAsia" w:hAnsi="Arial" w:cs="Arial"/>
          <w:sz w:val="22"/>
          <w:szCs w:val="22"/>
          <w:lang w:val="es-ES_tradnl" w:eastAsia="es-ES"/>
        </w:rPr>
      </w:pPr>
    </w:p>
    <w:p w14:paraId="321D4219" w14:textId="77777777" w:rsidR="004472C1" w:rsidRPr="004472C1" w:rsidRDefault="004472C1" w:rsidP="004472C1">
      <w:pPr>
        <w:jc w:val="both"/>
        <w:rPr>
          <w:rFonts w:ascii="Arial" w:eastAsiaTheme="minorEastAsia" w:hAnsi="Arial" w:cs="Arial"/>
          <w:sz w:val="22"/>
          <w:szCs w:val="22"/>
          <w:lang w:val="es-ES_tradnl" w:eastAsia="es-ES"/>
        </w:rPr>
      </w:pPr>
      <w:r w:rsidRPr="004472C1">
        <w:rPr>
          <w:rFonts w:ascii="Arial" w:eastAsiaTheme="minorEastAsia" w:hAnsi="Arial" w:cs="Arial"/>
          <w:sz w:val="22"/>
          <w:szCs w:val="22"/>
          <w:lang w:val="es-ES_tradnl" w:eastAsia="es-ES"/>
        </w:rPr>
        <w:t>Cordialmente,</w:t>
      </w:r>
    </w:p>
    <w:p w14:paraId="722A4DED" w14:textId="77777777" w:rsidR="00F01CAB" w:rsidRPr="00AE7E25" w:rsidRDefault="00F01CAB" w:rsidP="00F01CAB">
      <w:pPr>
        <w:rPr>
          <w:rFonts w:ascii="Arial" w:hAnsi="Arial" w:cs="Arial"/>
          <w:sz w:val="22"/>
          <w:szCs w:val="22"/>
          <w:lang w:val="es-ES_tradnl"/>
        </w:rPr>
      </w:pPr>
    </w:p>
    <w:p w14:paraId="5BFC70EF" w14:textId="77777777" w:rsidR="00F01CAB" w:rsidRPr="00AE7E25" w:rsidRDefault="00F01CAB" w:rsidP="00F01CAB">
      <w:pPr>
        <w:jc w:val="both"/>
        <w:rPr>
          <w:rFonts w:ascii="Arial" w:hAnsi="Arial" w:cs="Arial"/>
          <w:b/>
          <w:sz w:val="22"/>
          <w:szCs w:val="22"/>
          <w:lang w:val="es-ES_tradnl"/>
        </w:rPr>
      </w:pPr>
    </w:p>
    <w:p w14:paraId="7E857A21" w14:textId="77777777" w:rsidR="00F01CAB" w:rsidRPr="00AE7E25" w:rsidRDefault="00F01CAB" w:rsidP="00F01CAB">
      <w:pPr>
        <w:jc w:val="both"/>
        <w:rPr>
          <w:rFonts w:ascii="Arial" w:hAnsi="Arial" w:cs="Arial"/>
          <w:b/>
          <w:sz w:val="22"/>
          <w:szCs w:val="22"/>
          <w:lang w:val="es-ES_tradnl"/>
        </w:rPr>
      </w:pPr>
    </w:p>
    <w:p w14:paraId="1E000C4D" w14:textId="77777777" w:rsidR="00343BD5" w:rsidRPr="00AE7E25" w:rsidRDefault="00343BD5" w:rsidP="00343BD5">
      <w:pPr>
        <w:rPr>
          <w:rFonts w:ascii="Times New Roman" w:eastAsia="Times New Roman" w:hAnsi="Times New Roman" w:cs="Times New Roman"/>
          <w:sz w:val="22"/>
          <w:szCs w:val="22"/>
          <w:lang w:val="es-ES_tradnl" w:eastAsia="es-CO"/>
        </w:rPr>
      </w:pPr>
    </w:p>
    <w:p w14:paraId="02E4A7C4" w14:textId="2AD97792" w:rsidR="00343BD5" w:rsidRPr="004472C1" w:rsidRDefault="009549E2" w:rsidP="00343BD5">
      <w:pPr>
        <w:jc w:val="center"/>
        <w:rPr>
          <w:rFonts w:ascii="Arial" w:eastAsia="Times New Roman" w:hAnsi="Arial" w:cs="Arial"/>
          <w:sz w:val="22"/>
          <w:szCs w:val="22"/>
          <w:lang w:val="es-ES_tradnl" w:eastAsia="es-CO"/>
        </w:rPr>
      </w:pPr>
      <w:r w:rsidRPr="004472C1">
        <w:rPr>
          <w:rFonts w:ascii="Arial" w:eastAsia="Times New Roman" w:hAnsi="Arial" w:cs="Arial"/>
          <w:b/>
          <w:bCs/>
          <w:color w:val="000000"/>
          <w:sz w:val="22"/>
          <w:szCs w:val="22"/>
          <w:lang w:val="es-ES_tradnl" w:eastAsia="es-CO"/>
        </w:rPr>
        <w:t>FABIOLA JACOME RINCÓN</w:t>
      </w:r>
    </w:p>
    <w:p w14:paraId="1904A9C0" w14:textId="2A23FE7B" w:rsidR="00343BD5" w:rsidRPr="004472C1" w:rsidRDefault="00343BD5" w:rsidP="00343BD5">
      <w:pPr>
        <w:jc w:val="center"/>
        <w:rPr>
          <w:rFonts w:ascii="Arial" w:eastAsia="Times New Roman" w:hAnsi="Arial" w:cs="Arial"/>
          <w:color w:val="000000"/>
          <w:sz w:val="22"/>
          <w:szCs w:val="22"/>
          <w:lang w:val="es-ES_tradnl" w:eastAsia="es-CO"/>
        </w:rPr>
      </w:pPr>
      <w:r w:rsidRPr="004472C1">
        <w:rPr>
          <w:rFonts w:ascii="Arial" w:eastAsia="Times New Roman" w:hAnsi="Arial" w:cs="Arial"/>
          <w:color w:val="000000"/>
          <w:sz w:val="22"/>
          <w:szCs w:val="22"/>
          <w:lang w:val="es-ES_tradnl" w:eastAsia="es-CO"/>
        </w:rPr>
        <w:t>Alcalde</w:t>
      </w:r>
      <w:r w:rsidR="009549E2" w:rsidRPr="004472C1">
        <w:rPr>
          <w:rFonts w:ascii="Arial" w:eastAsia="Times New Roman" w:hAnsi="Arial" w:cs="Arial"/>
          <w:color w:val="000000"/>
          <w:sz w:val="22"/>
          <w:szCs w:val="22"/>
          <w:lang w:val="es-ES_tradnl" w:eastAsia="es-CO"/>
        </w:rPr>
        <w:t>sa</w:t>
      </w:r>
      <w:r w:rsidRPr="004472C1">
        <w:rPr>
          <w:rFonts w:ascii="Arial" w:eastAsia="Times New Roman" w:hAnsi="Arial" w:cs="Arial"/>
          <w:color w:val="000000"/>
          <w:sz w:val="22"/>
          <w:szCs w:val="22"/>
          <w:lang w:val="es-ES_tradnl" w:eastAsia="es-CO"/>
        </w:rPr>
        <w:t xml:space="preserve"> Municipal de Cajicá</w:t>
      </w:r>
      <w:r w:rsidR="006F6539" w:rsidRPr="004472C1">
        <w:rPr>
          <w:rFonts w:ascii="Arial" w:eastAsia="Times New Roman" w:hAnsi="Arial" w:cs="Arial"/>
          <w:color w:val="000000"/>
          <w:sz w:val="22"/>
          <w:szCs w:val="22"/>
          <w:lang w:val="es-ES_tradnl" w:eastAsia="es-CO"/>
        </w:rPr>
        <w:t>.</w:t>
      </w:r>
    </w:p>
    <w:p w14:paraId="56BB7EDF" w14:textId="77777777" w:rsidR="00F534A4" w:rsidRDefault="00F534A4" w:rsidP="00343BD5">
      <w:pPr>
        <w:jc w:val="center"/>
        <w:rPr>
          <w:rFonts w:eastAsia="Times New Roman"/>
          <w:color w:val="000000"/>
          <w:sz w:val="22"/>
          <w:szCs w:val="22"/>
          <w:lang w:val="es-ES_tradnl" w:eastAsia="es-CO"/>
        </w:rPr>
      </w:pPr>
    </w:p>
    <w:p w14:paraId="604A5F20" w14:textId="77777777" w:rsidR="00F534A4" w:rsidRDefault="00F534A4" w:rsidP="00343BD5">
      <w:pPr>
        <w:jc w:val="center"/>
        <w:rPr>
          <w:rFonts w:eastAsia="Times New Roman"/>
          <w:color w:val="000000"/>
          <w:sz w:val="22"/>
          <w:szCs w:val="22"/>
          <w:lang w:val="es-ES_tradnl" w:eastAsia="es-CO"/>
        </w:rPr>
      </w:pPr>
    </w:p>
    <w:p w14:paraId="62F0F049" w14:textId="77777777" w:rsidR="00343BD5" w:rsidRPr="00AE7E25" w:rsidRDefault="00343BD5" w:rsidP="00343BD5">
      <w:pPr>
        <w:rPr>
          <w:rFonts w:ascii="Times New Roman" w:eastAsia="Times New Roman" w:hAnsi="Times New Roman" w:cs="Times New Roman"/>
          <w:sz w:val="22"/>
          <w:szCs w:val="22"/>
          <w:lang w:val="es-ES_tradnl" w:eastAsia="es-CO"/>
        </w:rPr>
      </w:pPr>
    </w:p>
    <w:tbl>
      <w:tblPr>
        <w:tblW w:w="0" w:type="auto"/>
        <w:tblCellMar>
          <w:top w:w="15" w:type="dxa"/>
          <w:left w:w="15" w:type="dxa"/>
          <w:bottom w:w="15" w:type="dxa"/>
          <w:right w:w="15" w:type="dxa"/>
        </w:tblCellMar>
        <w:tblLook w:val="04A0" w:firstRow="1" w:lastRow="0" w:firstColumn="1" w:lastColumn="0" w:noHBand="0" w:noVBand="1"/>
      </w:tblPr>
      <w:tblGrid>
        <w:gridCol w:w="1232"/>
        <w:gridCol w:w="2999"/>
        <w:gridCol w:w="1117"/>
        <w:gridCol w:w="3485"/>
      </w:tblGrid>
      <w:tr w:rsidR="00343BD5" w:rsidRPr="00FA0152" w14:paraId="3A1F8B6F" w14:textId="77777777" w:rsidTr="00AE7E25">
        <w:trPr>
          <w:trHeight w:val="283"/>
        </w:trPr>
        <w:tc>
          <w:tcPr>
            <w:tcW w:w="0" w:type="auto"/>
            <w:tcBorders>
              <w:bottom w:val="single" w:sz="4" w:space="0" w:color="auto"/>
              <w:right w:val="single" w:sz="4" w:space="0" w:color="000000"/>
            </w:tcBorders>
            <w:tcMar>
              <w:top w:w="0" w:type="dxa"/>
              <w:left w:w="115" w:type="dxa"/>
              <w:bottom w:w="0" w:type="dxa"/>
              <w:right w:w="115" w:type="dxa"/>
            </w:tcMar>
            <w:vAlign w:val="center"/>
            <w:hideMark/>
          </w:tcPr>
          <w:p w14:paraId="503F0094" w14:textId="77777777" w:rsidR="00343BD5" w:rsidRPr="00FA0152" w:rsidRDefault="00343BD5" w:rsidP="00343BD5">
            <w:pPr>
              <w:rPr>
                <w:rFonts w:ascii="Times New Roman" w:eastAsia="Times New Roman" w:hAnsi="Times New Roman" w:cs="Times New Roman"/>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06025D"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NOMBRE Y APELLIDO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956009"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FIRMA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92003A"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CARGO Y ÁREA</w:t>
            </w:r>
          </w:p>
        </w:tc>
      </w:tr>
      <w:tr w:rsidR="00AE7E25" w:rsidRPr="00FA0152" w14:paraId="3E56609F" w14:textId="77777777" w:rsidTr="00AE7E25">
        <w:trPr>
          <w:trHeight w:val="283"/>
        </w:trPr>
        <w:tc>
          <w:tcPr>
            <w:tcW w:w="0" w:type="auto"/>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3CDF5EF7" w14:textId="2A0E5D65" w:rsidR="00AE7E25" w:rsidRPr="00FA0152" w:rsidRDefault="00AE7E25" w:rsidP="00AE7E25">
            <w:pPr>
              <w:jc w:val="center"/>
              <w:rPr>
                <w:rFonts w:asciiTheme="majorHAnsi" w:eastAsia="Times New Roman" w:hAnsiTheme="majorHAnsi" w:cstheme="majorHAnsi"/>
                <w:b/>
                <w:bCs/>
                <w:sz w:val="16"/>
                <w:szCs w:val="16"/>
                <w:lang w:val="es-ES_tradnl" w:eastAsia="es-CO"/>
              </w:rPr>
            </w:pPr>
            <w:r w:rsidRPr="00FA0152">
              <w:rPr>
                <w:rFonts w:asciiTheme="majorHAnsi" w:eastAsia="Times New Roman" w:hAnsiTheme="majorHAnsi" w:cstheme="majorHAnsi"/>
                <w:b/>
                <w:bCs/>
                <w:sz w:val="16"/>
                <w:szCs w:val="16"/>
                <w:lang w:val="es-ES_tradnl" w:eastAsia="es-CO"/>
              </w:rPr>
              <w:t>Elaboró</w:t>
            </w:r>
          </w:p>
        </w:tc>
        <w:tc>
          <w:tcPr>
            <w:tcW w:w="0" w:type="auto"/>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604AED17" w14:textId="13C9EFB0" w:rsidR="00AE7E25" w:rsidRPr="009549E2" w:rsidRDefault="009549E2" w:rsidP="00343BD5">
            <w:pPr>
              <w:jc w:val="center"/>
              <w:rPr>
                <w:rFonts w:asciiTheme="majorHAnsi" w:eastAsia="Times New Roman" w:hAnsiTheme="majorHAnsi" w:cstheme="majorHAnsi"/>
                <w:color w:val="000000"/>
                <w:sz w:val="16"/>
                <w:szCs w:val="16"/>
                <w:lang w:val="es-ES_tradnl" w:eastAsia="es-CO"/>
              </w:rPr>
            </w:pPr>
            <w:r w:rsidRPr="009549E2">
              <w:rPr>
                <w:rFonts w:asciiTheme="majorHAnsi" w:eastAsia="Times New Roman" w:hAnsiTheme="majorHAnsi" w:cstheme="majorHAnsi"/>
                <w:color w:val="000000"/>
                <w:sz w:val="16"/>
                <w:szCs w:val="16"/>
                <w:lang w:val="es-ES_tradnl" w:eastAsia="es-CO"/>
              </w:rPr>
              <w:t>Carolina López Cogua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767082" w14:textId="77777777" w:rsidR="00AE7E25" w:rsidRPr="00FA0152" w:rsidRDefault="00AE7E25" w:rsidP="00343BD5">
            <w:pPr>
              <w:jc w:val="center"/>
              <w:rPr>
                <w:rFonts w:asciiTheme="majorHAnsi" w:eastAsia="Times New Roman" w:hAnsiTheme="majorHAnsi" w:cstheme="majorHAnsi"/>
                <w:b/>
                <w:bCs/>
                <w:color w:val="000000"/>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C70D4F" w14:textId="125EF7AF" w:rsidR="00AE7E25" w:rsidRPr="009549E2" w:rsidRDefault="009549E2" w:rsidP="00343BD5">
            <w:pPr>
              <w:jc w:val="center"/>
              <w:rPr>
                <w:rFonts w:asciiTheme="majorHAnsi" w:eastAsia="Times New Roman" w:hAnsiTheme="majorHAnsi" w:cstheme="majorHAnsi"/>
                <w:color w:val="000000"/>
                <w:sz w:val="16"/>
                <w:szCs w:val="16"/>
                <w:lang w:val="es-ES_tradnl" w:eastAsia="es-CO"/>
              </w:rPr>
            </w:pPr>
            <w:r w:rsidRPr="009549E2">
              <w:rPr>
                <w:rFonts w:asciiTheme="majorHAnsi" w:eastAsia="Times New Roman" w:hAnsiTheme="majorHAnsi" w:cstheme="majorHAnsi"/>
                <w:color w:val="000000"/>
                <w:sz w:val="16"/>
                <w:szCs w:val="16"/>
                <w:lang w:val="es-ES_tradnl" w:eastAsia="es-CO"/>
              </w:rPr>
              <w:t>Profesional Universitario</w:t>
            </w:r>
          </w:p>
        </w:tc>
      </w:tr>
      <w:tr w:rsidR="00343BD5" w:rsidRPr="00FA0152" w14:paraId="3773C822" w14:textId="77777777" w:rsidTr="00AE7E25">
        <w:trPr>
          <w:trHeight w:val="283"/>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D39F97"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Revisó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9E2EF0"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Hugo Alejandro Palacios Santafé</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7B60D0" w14:textId="77777777" w:rsidR="00343BD5" w:rsidRPr="00FA0152" w:rsidRDefault="00343BD5" w:rsidP="00343BD5">
            <w:pPr>
              <w:rPr>
                <w:rFonts w:ascii="Times New Roman" w:eastAsia="Times New Roman" w:hAnsi="Times New Roman" w:cs="Times New Roman"/>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3DEB2B"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Asesor jurídico externo del Despacho </w:t>
            </w:r>
          </w:p>
        </w:tc>
      </w:tr>
      <w:tr w:rsidR="00343BD5" w:rsidRPr="00FA0152" w14:paraId="06E045BD" w14:textId="77777777">
        <w:trPr>
          <w:trHeight w:val="536"/>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B6D398"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3F7E815B" w14:textId="19EF08E8" w:rsidR="00F01CAB" w:rsidRPr="00AE7E25" w:rsidRDefault="00F01CAB" w:rsidP="00F01CAB">
      <w:pPr>
        <w:spacing w:after="160" w:line="259" w:lineRule="auto"/>
        <w:rPr>
          <w:rFonts w:ascii="Arial" w:hAnsi="Arial" w:cs="Arial"/>
          <w:sz w:val="22"/>
          <w:szCs w:val="22"/>
          <w:lang w:val="es-ES_tradnl"/>
        </w:rPr>
      </w:pPr>
    </w:p>
    <w:sectPr w:rsidR="00F01CAB" w:rsidRPr="00AE7E25" w:rsidSect="00371840">
      <w:headerReference w:type="even" r:id="rId7"/>
      <w:headerReference w:type="default" r:id="rId8"/>
      <w:footerReference w:type="default" r:id="rId9"/>
      <w:headerReference w:type="first" r:id="rId10"/>
      <w:pgSz w:w="12240" w:h="18720" w:code="128"/>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2331D" w14:textId="77777777" w:rsidR="00E40459" w:rsidRDefault="00E40459">
      <w:r>
        <w:separator/>
      </w:r>
    </w:p>
  </w:endnote>
  <w:endnote w:type="continuationSeparator" w:id="0">
    <w:p w14:paraId="68B6CC0F" w14:textId="77777777" w:rsidR="00E40459" w:rsidRDefault="00E4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0EBC2" w14:textId="77777777" w:rsidR="00026E95" w:rsidRDefault="008957AB">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0AD5FEEC" wp14:editId="4EA14DC5">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DCCD" w14:textId="77777777" w:rsidR="00E40459" w:rsidRDefault="00E40459">
      <w:r>
        <w:separator/>
      </w:r>
    </w:p>
  </w:footnote>
  <w:footnote w:type="continuationSeparator" w:id="0">
    <w:p w14:paraId="68F672B9" w14:textId="77777777" w:rsidR="00E40459" w:rsidRDefault="00E4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A01F" w14:textId="77777777" w:rsidR="00026E95" w:rsidRDefault="00E40459">
    <w:pPr>
      <w:pBdr>
        <w:top w:val="nil"/>
        <w:left w:val="nil"/>
        <w:bottom w:val="nil"/>
        <w:right w:val="nil"/>
        <w:between w:val="nil"/>
      </w:pBdr>
      <w:tabs>
        <w:tab w:val="center" w:pos="4419"/>
        <w:tab w:val="right" w:pos="8838"/>
      </w:tabs>
      <w:rPr>
        <w:color w:val="000000"/>
      </w:rPr>
    </w:pPr>
    <w:r>
      <w:rPr>
        <w:color w:val="000000"/>
      </w:rPr>
      <w:pict w14:anchorId="30D0F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A47C" w14:textId="77777777" w:rsidR="00026E95" w:rsidRDefault="00026E95">
    <w:pPr>
      <w:tabs>
        <w:tab w:val="center" w:pos="4419"/>
        <w:tab w:val="right" w:pos="8838"/>
      </w:tabs>
      <w:ind w:left="-284"/>
      <w:rPr>
        <w:color w:val="FF0000"/>
        <w:sz w:val="16"/>
        <w:szCs w:val="16"/>
      </w:rPr>
    </w:pPr>
  </w:p>
  <w:p w14:paraId="1148D329" w14:textId="77777777" w:rsidR="00026E95" w:rsidRDefault="00E40459">
    <w:pPr>
      <w:pBdr>
        <w:top w:val="nil"/>
        <w:left w:val="nil"/>
        <w:bottom w:val="nil"/>
        <w:right w:val="nil"/>
        <w:between w:val="nil"/>
      </w:pBdr>
      <w:tabs>
        <w:tab w:val="center" w:pos="4419"/>
        <w:tab w:val="right" w:pos="8838"/>
      </w:tabs>
      <w:ind w:left="-284" w:firstLine="284"/>
      <w:rPr>
        <w:color w:val="000000"/>
      </w:rPr>
    </w:pPr>
    <w:r>
      <w:rPr>
        <w:color w:val="000000"/>
      </w:rPr>
      <w:pict w14:anchorId="5D833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8957AB">
      <w:rPr>
        <w:noProof/>
        <w:color w:val="000000"/>
      </w:rPr>
      <w:drawing>
        <wp:inline distT="0" distB="0" distL="0" distR="0" wp14:anchorId="442512C4" wp14:editId="5D4DC045">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18F9" w14:textId="77777777" w:rsidR="00026E95" w:rsidRDefault="00E40459">
    <w:pPr>
      <w:pBdr>
        <w:top w:val="nil"/>
        <w:left w:val="nil"/>
        <w:bottom w:val="nil"/>
        <w:right w:val="nil"/>
        <w:between w:val="nil"/>
      </w:pBdr>
      <w:tabs>
        <w:tab w:val="center" w:pos="4419"/>
        <w:tab w:val="right" w:pos="8838"/>
      </w:tabs>
      <w:rPr>
        <w:color w:val="000000"/>
      </w:rPr>
    </w:pPr>
    <w:r>
      <w:rPr>
        <w:color w:val="000000"/>
      </w:rPr>
      <w:pict w14:anchorId="369EF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67CD5"/>
    <w:multiLevelType w:val="hybridMultilevel"/>
    <w:tmpl w:val="B518D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F0F3ACB"/>
    <w:multiLevelType w:val="hybridMultilevel"/>
    <w:tmpl w:val="6BA28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06A3902"/>
    <w:multiLevelType w:val="hybridMultilevel"/>
    <w:tmpl w:val="A5867B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CF92580"/>
    <w:multiLevelType w:val="hybridMultilevel"/>
    <w:tmpl w:val="71F0A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80536550">
    <w:abstractNumId w:val="2"/>
  </w:num>
  <w:num w:numId="2" w16cid:durableId="863710844">
    <w:abstractNumId w:val="0"/>
  </w:num>
  <w:num w:numId="3" w16cid:durableId="1259947597">
    <w:abstractNumId w:val="3"/>
  </w:num>
  <w:num w:numId="4" w16cid:durableId="1850831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E95"/>
    <w:rsid w:val="000170CA"/>
    <w:rsid w:val="00026E95"/>
    <w:rsid w:val="00074C9E"/>
    <w:rsid w:val="00080FBB"/>
    <w:rsid w:val="00082166"/>
    <w:rsid w:val="000C60A8"/>
    <w:rsid w:val="001B060D"/>
    <w:rsid w:val="001C6A8A"/>
    <w:rsid w:val="00283514"/>
    <w:rsid w:val="00312975"/>
    <w:rsid w:val="003211BE"/>
    <w:rsid w:val="00330AC4"/>
    <w:rsid w:val="003369F5"/>
    <w:rsid w:val="00343BD5"/>
    <w:rsid w:val="00364CC8"/>
    <w:rsid w:val="00371840"/>
    <w:rsid w:val="00395B6E"/>
    <w:rsid w:val="003B6D96"/>
    <w:rsid w:val="00405E9E"/>
    <w:rsid w:val="004472C1"/>
    <w:rsid w:val="004C71C2"/>
    <w:rsid w:val="004D08E9"/>
    <w:rsid w:val="004D6522"/>
    <w:rsid w:val="00536EC9"/>
    <w:rsid w:val="005446C0"/>
    <w:rsid w:val="0059099D"/>
    <w:rsid w:val="005C1B4B"/>
    <w:rsid w:val="0061105B"/>
    <w:rsid w:val="0064698D"/>
    <w:rsid w:val="006A1068"/>
    <w:rsid w:val="006D611F"/>
    <w:rsid w:val="006F6539"/>
    <w:rsid w:val="0076460A"/>
    <w:rsid w:val="0077205B"/>
    <w:rsid w:val="007838F2"/>
    <w:rsid w:val="007B3B10"/>
    <w:rsid w:val="008957AB"/>
    <w:rsid w:val="008E21AE"/>
    <w:rsid w:val="008F6AFA"/>
    <w:rsid w:val="0092288E"/>
    <w:rsid w:val="009468E3"/>
    <w:rsid w:val="009549E2"/>
    <w:rsid w:val="00984D50"/>
    <w:rsid w:val="009F65BE"/>
    <w:rsid w:val="00A11AC8"/>
    <w:rsid w:val="00A162BF"/>
    <w:rsid w:val="00A52334"/>
    <w:rsid w:val="00AD3BDE"/>
    <w:rsid w:val="00AD6783"/>
    <w:rsid w:val="00AE7E25"/>
    <w:rsid w:val="00B21249"/>
    <w:rsid w:val="00B61CEA"/>
    <w:rsid w:val="00BB4E15"/>
    <w:rsid w:val="00BB6EDD"/>
    <w:rsid w:val="00BF6161"/>
    <w:rsid w:val="00C4462A"/>
    <w:rsid w:val="00C744ED"/>
    <w:rsid w:val="00C815E4"/>
    <w:rsid w:val="00C956DD"/>
    <w:rsid w:val="00D422E4"/>
    <w:rsid w:val="00D7104F"/>
    <w:rsid w:val="00D77030"/>
    <w:rsid w:val="00DF46A4"/>
    <w:rsid w:val="00E40459"/>
    <w:rsid w:val="00EA4575"/>
    <w:rsid w:val="00EF4A29"/>
    <w:rsid w:val="00F01CAB"/>
    <w:rsid w:val="00F44922"/>
    <w:rsid w:val="00F51D2D"/>
    <w:rsid w:val="00F534A4"/>
    <w:rsid w:val="00F632EE"/>
    <w:rsid w:val="00F72FFB"/>
    <w:rsid w:val="00F757F0"/>
    <w:rsid w:val="00FA0152"/>
    <w:rsid w:val="00FF65F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8A61B"/>
  <w15:docId w15:val="{0D264DD8-AD43-46C1-9B56-0AE42459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3369F5"/>
    <w:pPr>
      <w:tabs>
        <w:tab w:val="center" w:pos="4419"/>
        <w:tab w:val="right" w:pos="8838"/>
      </w:tabs>
    </w:pPr>
    <w:rPr>
      <w:rFonts w:asciiTheme="minorHAnsi" w:eastAsiaTheme="minorEastAsia"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3369F5"/>
    <w:rPr>
      <w:rFonts w:asciiTheme="minorHAnsi" w:eastAsiaTheme="minorEastAsia" w:hAnsiTheme="minorHAnsi" w:cstheme="minorBidi"/>
      <w:kern w:val="2"/>
      <w:lang w:eastAsia="en-US"/>
      <w14:ligatures w14:val="standardContextual"/>
    </w:rPr>
  </w:style>
  <w:style w:type="table" w:styleId="Tablaconcuadrcula">
    <w:name w:val="Table Grid"/>
    <w:basedOn w:val="Tablanormal"/>
    <w:uiPriority w:val="39"/>
    <w:rsid w:val="00F01CAB"/>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1CAB"/>
    <w:rPr>
      <w:rFonts w:asciiTheme="minorHAnsi" w:eastAsiaTheme="minorEastAsia" w:hAnsiTheme="minorHAnsi" w:cstheme="minorBidi"/>
      <w:lang w:val="es-ES_tradnl" w:eastAsia="es-ES"/>
    </w:rPr>
  </w:style>
  <w:style w:type="character" w:styleId="Hipervnculo">
    <w:name w:val="Hyperlink"/>
    <w:basedOn w:val="Fuentedeprrafopredeter"/>
    <w:uiPriority w:val="99"/>
    <w:unhideWhenUsed/>
    <w:rsid w:val="00F01CAB"/>
    <w:rPr>
      <w:color w:val="0000FF" w:themeColor="hyperlink"/>
      <w:u w:val="single"/>
    </w:rPr>
  </w:style>
  <w:style w:type="paragraph" w:customStyle="1" w:styleId="p1">
    <w:name w:val="p1"/>
    <w:basedOn w:val="Normal"/>
    <w:rsid w:val="00283514"/>
    <w:rPr>
      <w:rFonts w:ascii="Helvetica" w:eastAsia="Times New Roman" w:hAnsi="Helvetica" w:cs="Times New Roman"/>
      <w:color w:val="000000"/>
      <w:sz w:val="14"/>
      <w:szCs w:val="1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1044</Words>
  <Characters>5878</Characters>
  <Application>Microsoft Office Word</Application>
  <DocSecurity>0</DocSecurity>
  <Lines>167</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Leguizamon</dc:creator>
  <cp:lastModifiedBy>Hugo Palacios</cp:lastModifiedBy>
  <cp:revision>3</cp:revision>
  <cp:lastPrinted>2024-12-05T14:29:00Z</cp:lastPrinted>
  <dcterms:created xsi:type="dcterms:W3CDTF">2026-06-10T18:19:00Z</dcterms:created>
  <dcterms:modified xsi:type="dcterms:W3CDTF">2026-06-10T18:33:00Z</dcterms:modified>
</cp:coreProperties>
</file>